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D96BCC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 г.)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D96BCC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D96BCC">
        <w:rPr>
          <w:rFonts w:ascii="Arial" w:hAnsi="Arial" w:cs="Arial"/>
          <w:b/>
          <w:sz w:val="24"/>
          <w:szCs w:val="24"/>
        </w:rPr>
        <w:t>13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EF4ECB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D57940">
              <w:rPr>
                <w:rFonts w:ascii="Arial" w:hAnsi="Arial" w:cs="Arial"/>
                <w:sz w:val="24"/>
                <w:szCs w:val="24"/>
              </w:rPr>
              <w:t>гоградской области от 20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D57940">
              <w:rPr>
                <w:rFonts w:ascii="Arial" w:hAnsi="Arial" w:cs="Arial"/>
                <w:sz w:val="24"/>
                <w:szCs w:val="24"/>
              </w:rPr>
              <w:t xml:space="preserve"> № 39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EA1053" w:rsidRDefault="00B07D04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A1053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</w:t>
            </w:r>
            <w:r w:rsidR="00D57940" w:rsidRPr="00D57940">
              <w:rPr>
                <w:rFonts w:ascii="Arial" w:hAnsi="Arial" w:cs="Arial"/>
                <w:sz w:val="24"/>
                <w:szCs w:val="24"/>
              </w:rPr>
              <w:t>Признание граждан малоимущими в целях предоставления им жилых помещений муниципального жилищного фонда по договорам социального найма</w:t>
            </w:r>
            <w:r w:rsidR="00D57940" w:rsidRPr="00D57940">
              <w:rPr>
                <w:rFonts w:ascii="Arial" w:hAnsi="Arial" w:cs="Arial"/>
                <w:color w:val="000000"/>
                <w:sz w:val="24"/>
                <w:szCs w:val="24"/>
              </w:rPr>
              <w:t>» (в редакции постановления администрации от 30.04.2013 г. № 29, от 09.03.2016 № 18)</w:t>
            </w:r>
            <w:r w:rsidRPr="00D5794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D57940">
        <w:rPr>
          <w:rFonts w:ascii="Arial" w:hAnsi="Arial" w:cs="Arial"/>
          <w:sz w:val="24"/>
          <w:szCs w:val="24"/>
        </w:rPr>
        <w:t>20.07.2012 г. № 39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</w:t>
      </w:r>
      <w:r w:rsidR="00CB5A0E" w:rsidRPr="00CB5A0E">
        <w:rPr>
          <w:rFonts w:ascii="Arial" w:hAnsi="Arial" w:cs="Arial"/>
          <w:sz w:val="24"/>
          <w:szCs w:val="24"/>
        </w:rPr>
        <w:lastRenderedPageBreak/>
        <w:t xml:space="preserve">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D57940" w:rsidRPr="00D57940">
        <w:rPr>
          <w:rFonts w:ascii="Arial" w:hAnsi="Arial" w:cs="Arial"/>
          <w:color w:val="000000"/>
          <w:sz w:val="24"/>
          <w:szCs w:val="24"/>
        </w:rPr>
        <w:t>«</w:t>
      </w:r>
      <w:r w:rsidR="00D57940" w:rsidRPr="00D57940">
        <w:rPr>
          <w:rFonts w:ascii="Arial" w:hAnsi="Arial" w:cs="Arial"/>
          <w:sz w:val="24"/>
          <w:szCs w:val="24"/>
        </w:rPr>
        <w:t>Признание граждан малоимущими в целях предоставления им жилых помещений муниципального жилищного фонда по договорам социального найма</w:t>
      </w:r>
      <w:r w:rsidR="00D57940" w:rsidRPr="00D57940">
        <w:rPr>
          <w:rFonts w:ascii="Arial" w:hAnsi="Arial" w:cs="Arial"/>
          <w:color w:val="000000"/>
          <w:sz w:val="24"/>
          <w:szCs w:val="24"/>
        </w:rPr>
        <w:t>» (в редакции постановления администрации от 30.04.2013 г. № 29, от 09.03.2016 № 18)»</w:t>
      </w:r>
      <w:r w:rsidR="00B07D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</w:t>
      </w:r>
      <w:proofErr w:type="gramEnd"/>
      <w:r>
        <w:rPr>
          <w:rFonts w:ascii="Arial" w:hAnsi="Arial" w:cs="Arial"/>
          <w:sz w:val="24"/>
          <w:szCs w:val="24"/>
        </w:rPr>
        <w:t xml:space="preserve"> тексту – постановление):</w:t>
      </w:r>
    </w:p>
    <w:p w:rsidR="006A7D73" w:rsidRDefault="00D57940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2.13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5794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57940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57940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57940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57940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57940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3A37C4"/>
    <w:rsid w:val="00516B4D"/>
    <w:rsid w:val="00657C61"/>
    <w:rsid w:val="006A7D73"/>
    <w:rsid w:val="006F0380"/>
    <w:rsid w:val="008F0B1E"/>
    <w:rsid w:val="008F3975"/>
    <w:rsid w:val="00AA62A3"/>
    <w:rsid w:val="00B07D04"/>
    <w:rsid w:val="00BF3FDE"/>
    <w:rsid w:val="00C952B5"/>
    <w:rsid w:val="00CB5A0E"/>
    <w:rsid w:val="00CC7AC9"/>
    <w:rsid w:val="00D57940"/>
    <w:rsid w:val="00D96BCC"/>
    <w:rsid w:val="00EA1053"/>
    <w:rsid w:val="00EF0B1A"/>
    <w:rsid w:val="00EF4ECB"/>
    <w:rsid w:val="00FD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2017-12-01T12:32:00Z</dcterms:created>
  <dcterms:modified xsi:type="dcterms:W3CDTF">2017-12-01T12:32:00Z</dcterms:modified>
</cp:coreProperties>
</file>