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АДМИНИСТРАЦИЯ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ПИМЕНО-ЧЕРНЯНСКОГО СЕЛЬСКОГО ПОСЕЛЕНИЯ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КОТЕЛЬНИКОВСКОГО МУНИЦИПАЛЬНОГО РАЙОНА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ВОЛГОГРАДСКОЙ ОБЛАСТИ</w:t>
      </w:r>
    </w:p>
    <w:p w:rsidR="005A3A1B" w:rsidRPr="005E4740" w:rsidRDefault="005A3A1B" w:rsidP="005A3A1B">
      <w:pPr>
        <w:jc w:val="center"/>
        <w:rPr>
          <w:rFonts w:ascii="Arial" w:hAnsi="Arial" w:cs="Arial"/>
          <w:b/>
          <w:u w:val="double"/>
        </w:rPr>
      </w:pP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  <w:t xml:space="preserve"> 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ПОСТАНОВЛЕНИЕ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</w:p>
    <w:p w:rsidR="005A3A1B" w:rsidRPr="005E4740" w:rsidRDefault="005E4740" w:rsidP="005A3A1B">
      <w:pPr>
        <w:jc w:val="both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от 28.02.2018</w:t>
      </w:r>
      <w:r w:rsidR="005A3A1B" w:rsidRPr="005E4740">
        <w:rPr>
          <w:rFonts w:ascii="Arial" w:hAnsi="Arial" w:cs="Arial"/>
          <w:b/>
        </w:rPr>
        <w:t xml:space="preserve">  года </w:t>
      </w:r>
      <w:r w:rsidR="005A3A1B" w:rsidRPr="005E4740">
        <w:rPr>
          <w:rFonts w:ascii="Arial" w:hAnsi="Arial" w:cs="Arial"/>
          <w:b/>
        </w:rPr>
        <w:tab/>
      </w:r>
      <w:r w:rsidR="005A3A1B" w:rsidRPr="005E4740">
        <w:rPr>
          <w:rFonts w:ascii="Arial" w:hAnsi="Arial" w:cs="Arial"/>
          <w:b/>
        </w:rPr>
        <w:tab/>
      </w:r>
      <w:r w:rsidR="005A3A1B" w:rsidRPr="005E4740">
        <w:rPr>
          <w:rFonts w:ascii="Arial" w:hAnsi="Arial" w:cs="Arial"/>
          <w:b/>
        </w:rPr>
        <w:tab/>
      </w:r>
      <w:r w:rsidR="005A3A1B" w:rsidRPr="005E4740">
        <w:rPr>
          <w:rFonts w:ascii="Arial" w:hAnsi="Arial" w:cs="Arial"/>
          <w:b/>
        </w:rPr>
        <w:tab/>
        <w:t xml:space="preserve">№ </w:t>
      </w:r>
      <w:r w:rsidRPr="005E4740">
        <w:rPr>
          <w:rFonts w:ascii="Arial" w:hAnsi="Arial" w:cs="Arial"/>
          <w:b/>
        </w:rPr>
        <w:t>16</w:t>
      </w:r>
    </w:p>
    <w:p w:rsidR="005A3A1B" w:rsidRPr="005E4740" w:rsidRDefault="005A3A1B" w:rsidP="005A3A1B">
      <w:pPr>
        <w:jc w:val="both"/>
        <w:rPr>
          <w:rFonts w:ascii="Arial" w:hAnsi="Arial" w:cs="Arial"/>
          <w:b/>
        </w:rPr>
      </w:pP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 xml:space="preserve">Об определении стоимости услуг, предоставляемых на территории </w:t>
      </w:r>
      <w:proofErr w:type="spellStart"/>
      <w:r w:rsidRPr="005E4740">
        <w:rPr>
          <w:rFonts w:ascii="Arial" w:hAnsi="Arial" w:cs="Arial"/>
          <w:b/>
        </w:rPr>
        <w:t>Пимено-Чернянского</w:t>
      </w:r>
      <w:proofErr w:type="spellEnd"/>
      <w:r w:rsidRPr="005E4740">
        <w:rPr>
          <w:rFonts w:ascii="Arial" w:hAnsi="Arial" w:cs="Arial"/>
          <w:b/>
        </w:rPr>
        <w:t xml:space="preserve"> сельского поселения </w:t>
      </w:r>
      <w:proofErr w:type="spellStart"/>
      <w:r w:rsidRPr="005E4740">
        <w:rPr>
          <w:rFonts w:ascii="Arial" w:hAnsi="Arial" w:cs="Arial"/>
          <w:b/>
        </w:rPr>
        <w:t>Котельниковского</w:t>
      </w:r>
      <w:proofErr w:type="spellEnd"/>
      <w:r w:rsidRPr="005E4740">
        <w:rPr>
          <w:rFonts w:ascii="Arial" w:hAnsi="Arial" w:cs="Arial"/>
          <w:b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</w:p>
    <w:p w:rsidR="005A3A1B" w:rsidRPr="005E4740" w:rsidRDefault="005A3A1B" w:rsidP="005A3A1B">
      <w:pPr>
        <w:jc w:val="both"/>
        <w:rPr>
          <w:rFonts w:ascii="Arial" w:hAnsi="Arial" w:cs="Arial"/>
          <w:b/>
        </w:rPr>
      </w:pPr>
    </w:p>
    <w:p w:rsidR="005A3A1B" w:rsidRPr="005E4740" w:rsidRDefault="005A3A1B" w:rsidP="005A3A1B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ab/>
      </w:r>
      <w:proofErr w:type="gramStart"/>
      <w:r w:rsidRPr="005E4740">
        <w:rPr>
          <w:rFonts w:ascii="Arial" w:hAnsi="Arial" w:cs="Arial"/>
        </w:rPr>
        <w:t>В соответствии с Указом Президента Российской Федерации от 29.06.1996 г. № 1001 «О гарантиях прав граждан на предоставление услуг по погребению умерших</w:t>
      </w:r>
      <w:r w:rsidR="004D3EC3">
        <w:rPr>
          <w:rFonts w:ascii="Arial" w:hAnsi="Arial" w:cs="Arial"/>
        </w:rPr>
        <w:t>»</w:t>
      </w:r>
      <w:r w:rsidRPr="005E4740">
        <w:rPr>
          <w:rFonts w:ascii="Arial" w:hAnsi="Arial" w:cs="Arial"/>
        </w:rPr>
        <w:t>, Федеральным</w:t>
      </w:r>
      <w:r w:rsidR="004D3EC3">
        <w:rPr>
          <w:rFonts w:ascii="Arial" w:hAnsi="Arial" w:cs="Arial"/>
        </w:rPr>
        <w:t>и законами</w:t>
      </w:r>
      <w:r w:rsidRPr="005E4740">
        <w:rPr>
          <w:rFonts w:ascii="Arial" w:hAnsi="Arial" w:cs="Arial"/>
        </w:rPr>
        <w:t xml:space="preserve"> от 12.01.1996 г. № 8-ФЗ «О погребении и похоронном деле», </w:t>
      </w:r>
      <w:r w:rsidR="004D3EC3">
        <w:rPr>
          <w:rFonts w:ascii="Arial" w:hAnsi="Arial" w:cs="Arial"/>
        </w:rPr>
        <w:t xml:space="preserve"> </w:t>
      </w:r>
      <w:r w:rsidRPr="005E4740">
        <w:rPr>
          <w:rFonts w:ascii="Arial" w:hAnsi="Arial" w:cs="Arial"/>
        </w:rPr>
        <w:t>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 Волгоградской области</w:t>
      </w:r>
      <w:proofErr w:type="gramEnd"/>
      <w:r w:rsidRPr="005E4740">
        <w:rPr>
          <w:rFonts w:ascii="Arial" w:hAnsi="Arial" w:cs="Arial"/>
        </w:rPr>
        <w:t xml:space="preserve">», </w:t>
      </w:r>
      <w:r w:rsidR="004D3EC3">
        <w:rPr>
          <w:rFonts w:ascii="Arial" w:hAnsi="Arial" w:cs="Arial"/>
        </w:rPr>
        <w:t xml:space="preserve"> постановлением Губернатора  Волгоградской области от 23.01.2015 г. № 30 «Об индексации  социальных выплат отдельным категориям граждан, проживающим на территории Волгоградской области в 2015 году», </w:t>
      </w:r>
      <w:r w:rsidRPr="005E4740">
        <w:rPr>
          <w:rFonts w:ascii="Arial" w:hAnsi="Arial" w:cs="Arial"/>
        </w:rPr>
        <w:t xml:space="preserve"> Уставом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района Волгоградской области</w:t>
      </w:r>
      <w:r w:rsidR="006968BF" w:rsidRPr="005E4740">
        <w:rPr>
          <w:rFonts w:ascii="Arial" w:hAnsi="Arial" w:cs="Arial"/>
        </w:rPr>
        <w:t xml:space="preserve">, администрация </w:t>
      </w:r>
      <w:proofErr w:type="spellStart"/>
      <w:r w:rsidR="006968BF" w:rsidRPr="005E4740">
        <w:rPr>
          <w:rFonts w:ascii="Arial" w:hAnsi="Arial" w:cs="Arial"/>
        </w:rPr>
        <w:t>Пимено-Чернянского</w:t>
      </w:r>
      <w:proofErr w:type="spellEnd"/>
      <w:r w:rsidR="006968BF" w:rsidRPr="005E4740">
        <w:rPr>
          <w:rFonts w:ascii="Arial" w:hAnsi="Arial" w:cs="Arial"/>
        </w:rPr>
        <w:t xml:space="preserve"> сельского поселения </w:t>
      </w:r>
    </w:p>
    <w:p w:rsidR="006968BF" w:rsidRPr="005E4740" w:rsidRDefault="006968BF" w:rsidP="005A3A1B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постановляет: </w:t>
      </w:r>
    </w:p>
    <w:p w:rsidR="005A3A1B" w:rsidRDefault="006968BF" w:rsidP="006968B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>Определить:</w:t>
      </w:r>
    </w:p>
    <w:p w:rsidR="004D3EC3" w:rsidRPr="005E4740" w:rsidRDefault="004D3EC3" w:rsidP="004D3EC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стоимость услуг, предоставляемых на  территории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  согласно приложению № 1;</w:t>
      </w:r>
    </w:p>
    <w:p w:rsidR="006968BF" w:rsidRPr="005E4740" w:rsidRDefault="005E4FB0" w:rsidP="006968BF">
      <w:pPr>
        <w:pStyle w:val="a3"/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 </w:t>
      </w:r>
    </w:p>
    <w:p w:rsidR="006968BF" w:rsidRPr="005E4740" w:rsidRDefault="006968BF" w:rsidP="006968BF">
      <w:pPr>
        <w:pStyle w:val="a3"/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- стоимость услуг, предоставляемых 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Федерации, и требования к их </w:t>
      </w:r>
      <w:r w:rsidR="004D3EC3">
        <w:rPr>
          <w:rFonts w:ascii="Arial" w:hAnsi="Arial" w:cs="Arial"/>
        </w:rPr>
        <w:t>качеству согласно приложению № 2</w:t>
      </w:r>
      <w:r w:rsidRPr="005E4740">
        <w:rPr>
          <w:rFonts w:ascii="Arial" w:hAnsi="Arial" w:cs="Arial"/>
        </w:rPr>
        <w:t>;</w:t>
      </w:r>
    </w:p>
    <w:p w:rsidR="00A46480" w:rsidRDefault="00A46480" w:rsidP="006968BF">
      <w:pPr>
        <w:pStyle w:val="a3"/>
        <w:jc w:val="both"/>
        <w:rPr>
          <w:rFonts w:ascii="Arial" w:hAnsi="Arial" w:cs="Arial"/>
        </w:rPr>
      </w:pPr>
    </w:p>
    <w:p w:rsidR="006968BF" w:rsidRPr="005E4740" w:rsidRDefault="006968BF" w:rsidP="006968BF">
      <w:pPr>
        <w:pStyle w:val="a3"/>
        <w:jc w:val="both"/>
        <w:rPr>
          <w:rFonts w:ascii="Arial" w:hAnsi="Arial" w:cs="Arial"/>
        </w:rPr>
      </w:pPr>
      <w:proofErr w:type="gramStart"/>
      <w:r w:rsidRPr="005E4740">
        <w:rPr>
          <w:rFonts w:ascii="Arial" w:hAnsi="Arial" w:cs="Arial"/>
        </w:rPr>
        <w:t xml:space="preserve">- стоимость услуг, предоставляемых </w:t>
      </w:r>
      <w:r w:rsidR="004D3EC3">
        <w:rPr>
          <w:rFonts w:ascii="Arial" w:hAnsi="Arial" w:cs="Arial"/>
        </w:rPr>
        <w:t xml:space="preserve"> </w:t>
      </w:r>
      <w:r w:rsidRPr="005E4740">
        <w:rPr>
          <w:rFonts w:ascii="Arial" w:hAnsi="Arial" w:cs="Arial"/>
        </w:rPr>
        <w:t xml:space="preserve">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</w:t>
      </w:r>
      <w:r w:rsidR="004D3EC3">
        <w:rPr>
          <w:rFonts w:ascii="Arial" w:hAnsi="Arial" w:cs="Arial"/>
        </w:rPr>
        <w:t>согласно гарантированному перечню  услуг по погребению умерших (погибших)</w:t>
      </w:r>
      <w:r w:rsidR="00A46480">
        <w:rPr>
          <w:rFonts w:ascii="Arial" w:hAnsi="Arial" w:cs="Arial"/>
        </w:rPr>
        <w:t>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за счет средств Пенсионного фонда Российской Федерации, федерального бюджета, Фонда</w:t>
      </w:r>
      <w:proofErr w:type="gramEnd"/>
      <w:r w:rsidR="00A46480">
        <w:rPr>
          <w:rFonts w:ascii="Arial" w:hAnsi="Arial" w:cs="Arial"/>
        </w:rPr>
        <w:t xml:space="preserve"> социального страхования Российской Федерации, и требования к их качеству согласно приложению № 3.</w:t>
      </w:r>
    </w:p>
    <w:p w:rsidR="005E4740" w:rsidRPr="005E4740" w:rsidRDefault="005E4740" w:rsidP="005E4740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lastRenderedPageBreak/>
        <w:t xml:space="preserve">2. . Считать утратившим силу постановление администрации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№ 42 от 09.08.2017 года «Об определении стоимости услуг, предоставляемых 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погребению, и требований к их качеству».</w:t>
      </w:r>
    </w:p>
    <w:p w:rsidR="005E4FB0" w:rsidRPr="005E4740" w:rsidRDefault="005E4740" w:rsidP="005E4FB0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3. </w:t>
      </w:r>
      <w:r w:rsidRPr="005E4740">
        <w:rPr>
          <w:rFonts w:ascii="Arial" w:hAnsi="Arial" w:cs="Arial"/>
          <w:color w:val="000000"/>
          <w:spacing w:val="7"/>
        </w:rPr>
        <w:t>Настоящее постановление вст</w:t>
      </w:r>
      <w:r w:rsidR="00A46480">
        <w:rPr>
          <w:rFonts w:ascii="Arial" w:hAnsi="Arial" w:cs="Arial"/>
          <w:color w:val="000000"/>
          <w:spacing w:val="7"/>
        </w:rPr>
        <w:t>упает в силу со дня подписания,</w:t>
      </w:r>
      <w:r w:rsidRPr="005E4740">
        <w:rPr>
          <w:rFonts w:ascii="Arial" w:hAnsi="Arial" w:cs="Arial"/>
          <w:color w:val="000000"/>
          <w:spacing w:val="7"/>
        </w:rPr>
        <w:t xml:space="preserve"> подлежит обнародованию в порядке, предусмотренном п.2 статьи 32 Устава </w:t>
      </w:r>
      <w:proofErr w:type="spellStart"/>
      <w:r w:rsidRPr="005E4740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E4740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E4740">
        <w:rPr>
          <w:rFonts w:ascii="Arial" w:hAnsi="Arial" w:cs="Arial"/>
        </w:rPr>
        <w:t xml:space="preserve"> </w:t>
      </w:r>
      <w:r w:rsidR="005E4FB0" w:rsidRPr="005E4740">
        <w:rPr>
          <w:rFonts w:ascii="Arial" w:hAnsi="Arial" w:cs="Arial"/>
        </w:rPr>
        <w:t>и распространяет свое действие на п</w:t>
      </w:r>
      <w:r w:rsidRPr="005E4740">
        <w:rPr>
          <w:rFonts w:ascii="Arial" w:hAnsi="Arial" w:cs="Arial"/>
        </w:rPr>
        <w:t>равоотношения, возникшие с 01.02.2018</w:t>
      </w:r>
      <w:r w:rsidR="005E4FB0" w:rsidRPr="005E4740">
        <w:rPr>
          <w:rFonts w:ascii="Arial" w:hAnsi="Arial" w:cs="Arial"/>
        </w:rPr>
        <w:t xml:space="preserve"> года.</w:t>
      </w:r>
    </w:p>
    <w:p w:rsidR="005E4FB0" w:rsidRPr="005E4740" w:rsidRDefault="005E4FB0" w:rsidP="005E4FB0">
      <w:pPr>
        <w:jc w:val="both"/>
        <w:rPr>
          <w:rFonts w:ascii="Arial" w:hAnsi="Arial" w:cs="Arial"/>
        </w:rPr>
      </w:pPr>
    </w:p>
    <w:p w:rsidR="005E4FB0" w:rsidRPr="005E4740" w:rsidRDefault="005E4FB0" w:rsidP="005E4FB0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Глава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r w:rsidRPr="005E4740">
        <w:rPr>
          <w:rFonts w:ascii="Arial" w:hAnsi="Arial" w:cs="Arial"/>
        </w:rPr>
        <w:tab/>
      </w:r>
      <w:r w:rsidRPr="005E4740">
        <w:rPr>
          <w:rFonts w:ascii="Arial" w:hAnsi="Arial" w:cs="Arial"/>
        </w:rPr>
        <w:tab/>
      </w:r>
      <w:r w:rsidRPr="005E4740">
        <w:rPr>
          <w:rFonts w:ascii="Arial" w:hAnsi="Arial" w:cs="Arial"/>
        </w:rPr>
        <w:tab/>
        <w:t>О.В. Кувшинов</w:t>
      </w: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</w:p>
    <w:p w:rsidR="005E4FB0" w:rsidRDefault="005E4FB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P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</w:p>
    <w:p w:rsidR="006968BF" w:rsidRPr="005E4740" w:rsidRDefault="005E4FB0" w:rsidP="005E4FB0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>Приложение № 1 к постановлению</w:t>
      </w: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Администрации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</w:t>
      </w: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№ </w:t>
      </w:r>
      <w:r w:rsidR="005E4740">
        <w:rPr>
          <w:rFonts w:ascii="Arial" w:hAnsi="Arial" w:cs="Arial"/>
        </w:rPr>
        <w:t>16</w:t>
      </w:r>
      <w:r w:rsidRPr="005E4740">
        <w:rPr>
          <w:rFonts w:ascii="Arial" w:hAnsi="Arial" w:cs="Arial"/>
        </w:rPr>
        <w:t xml:space="preserve"> от </w:t>
      </w:r>
      <w:r w:rsidR="005E4740">
        <w:rPr>
          <w:rFonts w:ascii="Arial" w:hAnsi="Arial" w:cs="Arial"/>
        </w:rPr>
        <w:t>28.02.2018</w:t>
      </w:r>
      <w:r w:rsidRPr="005E4740">
        <w:rPr>
          <w:rFonts w:ascii="Arial" w:hAnsi="Arial" w:cs="Arial"/>
        </w:rPr>
        <w:t xml:space="preserve"> года</w:t>
      </w:r>
    </w:p>
    <w:p w:rsidR="005E4FB0" w:rsidRPr="005E4740" w:rsidRDefault="005E4FB0" w:rsidP="005E4FB0">
      <w:pPr>
        <w:pStyle w:val="a3"/>
        <w:jc w:val="both"/>
        <w:rPr>
          <w:rFonts w:ascii="Arial" w:hAnsi="Arial" w:cs="Arial"/>
        </w:rPr>
      </w:pPr>
    </w:p>
    <w:p w:rsidR="005E4FB0" w:rsidRDefault="005E4FB0" w:rsidP="005E4FB0">
      <w:pPr>
        <w:jc w:val="center"/>
        <w:rPr>
          <w:rFonts w:ascii="Arial" w:hAnsi="Arial" w:cs="Arial"/>
        </w:rPr>
      </w:pPr>
      <w:r w:rsidRPr="005E4740">
        <w:rPr>
          <w:rFonts w:ascii="Arial" w:hAnsi="Arial" w:cs="Arial"/>
        </w:rPr>
        <w:t>СТОИМОСТЬ</w:t>
      </w:r>
    </w:p>
    <w:p w:rsidR="005E4FB0" w:rsidRDefault="00A46480" w:rsidP="00A464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услуг, </w:t>
      </w:r>
      <w:r w:rsidRPr="005E4740">
        <w:rPr>
          <w:rFonts w:ascii="Arial" w:hAnsi="Arial" w:cs="Arial"/>
        </w:rPr>
        <w:t xml:space="preserve">предоставляемых 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Федерации, и требования к их </w:t>
      </w:r>
      <w:r>
        <w:rPr>
          <w:rFonts w:ascii="Arial" w:hAnsi="Arial" w:cs="Arial"/>
        </w:rPr>
        <w:t>качеству</w:t>
      </w:r>
    </w:p>
    <w:p w:rsidR="00A46480" w:rsidRPr="005E4740" w:rsidRDefault="00A46480" w:rsidP="005E4FB0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654"/>
        <w:gridCol w:w="2094"/>
        <w:gridCol w:w="3749"/>
        <w:gridCol w:w="1653"/>
        <w:gridCol w:w="1421"/>
      </w:tblGrid>
      <w:tr w:rsidR="005E4FB0" w:rsidRPr="005E4740" w:rsidTr="008209A8">
        <w:tc>
          <w:tcPr>
            <w:tcW w:w="654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E474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3749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653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5E4FB0" w:rsidRPr="005E4740" w:rsidTr="008209A8">
        <w:tc>
          <w:tcPr>
            <w:tcW w:w="654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749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свидетельства о смерти</w:t>
            </w:r>
          </w:p>
        </w:tc>
        <w:tc>
          <w:tcPr>
            <w:tcW w:w="1653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421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5E4FB0" w:rsidRPr="005E4740" w:rsidTr="008209A8">
        <w:tc>
          <w:tcPr>
            <w:tcW w:w="654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 w:rsidR="008209A8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421" w:type="dxa"/>
          </w:tcPr>
          <w:p w:rsidR="005E4FB0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1644,0</w:t>
            </w:r>
          </w:p>
        </w:tc>
      </w:tr>
      <w:tr w:rsidR="005E4FB0" w:rsidRPr="005E4740" w:rsidTr="008209A8">
        <w:tc>
          <w:tcPr>
            <w:tcW w:w="654" w:type="dxa"/>
          </w:tcPr>
          <w:p w:rsidR="005E4FB0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94" w:type="dxa"/>
          </w:tcPr>
          <w:p w:rsidR="005E4FB0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3749" w:type="dxa"/>
          </w:tcPr>
          <w:p w:rsidR="005E4FB0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Гроб стандартный, строганный из натуральных пиломатериалов толщиной 25-32 мм, обитый внутри пленкой, с ножками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,7х0,7)</w:t>
            </w:r>
          </w:p>
        </w:tc>
        <w:tc>
          <w:tcPr>
            <w:tcW w:w="1653" w:type="dxa"/>
          </w:tcPr>
          <w:p w:rsidR="005E4FB0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421" w:type="dxa"/>
          </w:tcPr>
          <w:p w:rsidR="005E4FB0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1326,0</w:t>
            </w:r>
          </w:p>
        </w:tc>
      </w:tr>
      <w:tr w:rsidR="00C314ED" w:rsidRPr="005E4740" w:rsidTr="008209A8">
        <w:tc>
          <w:tcPr>
            <w:tcW w:w="654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94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749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расстояние до 25 км с учетом </w:t>
            </w: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холостого пробега.</w:t>
            </w:r>
          </w:p>
        </w:tc>
        <w:tc>
          <w:tcPr>
            <w:tcW w:w="1653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421" w:type="dxa"/>
          </w:tcPr>
          <w:p w:rsidR="00C314ED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</w:tr>
      <w:tr w:rsidR="00C314ED" w:rsidRPr="005E4740" w:rsidTr="008209A8">
        <w:tc>
          <w:tcPr>
            <w:tcW w:w="654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749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</w:t>
            </w:r>
            <w:r w:rsidR="008E755B" w:rsidRPr="005E4740">
              <w:rPr>
                <w:rFonts w:ascii="Arial" w:hAnsi="Arial" w:cs="Arial"/>
                <w:sz w:val="24"/>
                <w:szCs w:val="24"/>
              </w:rPr>
              <w:t>возка от места нахождения тела (останков) умершего до кладбища на расстояние до 20,5 км</w:t>
            </w:r>
            <w:proofErr w:type="gramStart"/>
            <w:r w:rsidR="008E755B" w:rsidRPr="005E47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8E755B" w:rsidRPr="005E47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E755B" w:rsidRPr="005E474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8E755B" w:rsidRPr="005E4740">
              <w:rPr>
                <w:rFonts w:ascii="Arial" w:hAnsi="Arial" w:cs="Arial"/>
                <w:sz w:val="24"/>
                <w:szCs w:val="24"/>
              </w:rPr>
              <w:t>ключая холостой пробег</w:t>
            </w:r>
          </w:p>
        </w:tc>
        <w:tc>
          <w:tcPr>
            <w:tcW w:w="1653" w:type="dxa"/>
          </w:tcPr>
          <w:p w:rsidR="00C314ED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421" w:type="dxa"/>
          </w:tcPr>
          <w:p w:rsidR="00C314ED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1875,0</w:t>
            </w:r>
          </w:p>
        </w:tc>
      </w:tr>
      <w:tr w:rsidR="008E755B" w:rsidRPr="005E4740" w:rsidTr="008209A8">
        <w:tc>
          <w:tcPr>
            <w:tcW w:w="654" w:type="dxa"/>
          </w:tcPr>
          <w:p w:rsidR="008E755B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8E755B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  <w:r w:rsidR="008209A8">
              <w:rPr>
                <w:rFonts w:ascii="Arial" w:hAnsi="Arial" w:cs="Arial"/>
                <w:sz w:val="24"/>
                <w:szCs w:val="24"/>
              </w:rPr>
              <w:t>, в том числе</w:t>
            </w:r>
          </w:p>
        </w:tc>
        <w:tc>
          <w:tcPr>
            <w:tcW w:w="3749" w:type="dxa"/>
          </w:tcPr>
          <w:p w:rsidR="008E755B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8E755B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8E755B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2249,0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09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3749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,0х1,5)</w:t>
            </w:r>
          </w:p>
        </w:tc>
        <w:tc>
          <w:tcPr>
            <w:tcW w:w="1653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421" w:type="dxa"/>
          </w:tcPr>
          <w:p w:rsidR="0015434A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939,0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09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3749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15434A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209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3749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похорон</w:t>
            </w:r>
          </w:p>
        </w:tc>
        <w:tc>
          <w:tcPr>
            <w:tcW w:w="1421" w:type="dxa"/>
          </w:tcPr>
          <w:p w:rsidR="0015434A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909,0</w:t>
            </w:r>
          </w:p>
        </w:tc>
      </w:tr>
      <w:tr w:rsidR="0015434A" w:rsidRPr="005E4740" w:rsidTr="008209A8">
        <w:tc>
          <w:tcPr>
            <w:tcW w:w="6497" w:type="dxa"/>
            <w:gridSpan w:val="3"/>
          </w:tcPr>
          <w:p w:rsidR="0015434A" w:rsidRPr="005E4740" w:rsidRDefault="0015434A" w:rsidP="00A46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1653" w:type="dxa"/>
          </w:tcPr>
          <w:p w:rsidR="0015434A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похороны</w:t>
            </w:r>
          </w:p>
        </w:tc>
        <w:tc>
          <w:tcPr>
            <w:tcW w:w="1421" w:type="dxa"/>
          </w:tcPr>
          <w:p w:rsidR="0015434A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5768,0</w:t>
            </w:r>
          </w:p>
        </w:tc>
      </w:tr>
    </w:tbl>
    <w:p w:rsidR="005E4FB0" w:rsidRPr="005E4740" w:rsidRDefault="005E4FB0" w:rsidP="005E4FB0">
      <w:pPr>
        <w:jc w:val="both"/>
        <w:rPr>
          <w:rFonts w:ascii="Arial" w:hAnsi="Arial" w:cs="Arial"/>
        </w:rPr>
      </w:pPr>
    </w:p>
    <w:p w:rsidR="005E4FB0" w:rsidRPr="005E4740" w:rsidRDefault="005E4FB0" w:rsidP="005E4FB0">
      <w:pPr>
        <w:jc w:val="center"/>
        <w:rPr>
          <w:rFonts w:ascii="Arial" w:hAnsi="Arial" w:cs="Arial"/>
        </w:rPr>
      </w:pP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</w:p>
    <w:p w:rsidR="005E4FB0" w:rsidRPr="005E4740" w:rsidRDefault="005E4FB0" w:rsidP="005E4FB0">
      <w:pPr>
        <w:pStyle w:val="a3"/>
        <w:jc w:val="both"/>
        <w:rPr>
          <w:rFonts w:ascii="Arial" w:hAnsi="Arial" w:cs="Arial"/>
        </w:rPr>
      </w:pPr>
    </w:p>
    <w:p w:rsidR="00FA4AB1" w:rsidRPr="005E4740" w:rsidRDefault="00FA4AB1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15434A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ab/>
        <w:t>Приложение № 2 к постановлению</w:t>
      </w:r>
    </w:p>
    <w:p w:rsidR="0015434A" w:rsidRPr="005E4740" w:rsidRDefault="0015434A" w:rsidP="0015434A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Администрации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</w:t>
      </w:r>
    </w:p>
    <w:p w:rsidR="0015434A" w:rsidRPr="005E4740" w:rsidRDefault="0015434A" w:rsidP="0015434A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№ </w:t>
      </w:r>
      <w:r w:rsidR="00DB5576">
        <w:rPr>
          <w:rFonts w:ascii="Arial" w:hAnsi="Arial" w:cs="Arial"/>
        </w:rPr>
        <w:t>16</w:t>
      </w:r>
      <w:r w:rsidRPr="005E4740">
        <w:rPr>
          <w:rFonts w:ascii="Arial" w:hAnsi="Arial" w:cs="Arial"/>
        </w:rPr>
        <w:t xml:space="preserve"> от </w:t>
      </w:r>
      <w:r w:rsidR="00DB5576">
        <w:rPr>
          <w:rFonts w:ascii="Arial" w:hAnsi="Arial" w:cs="Arial"/>
        </w:rPr>
        <w:t>28.02.2018</w:t>
      </w:r>
      <w:r w:rsidRPr="005E4740">
        <w:rPr>
          <w:rFonts w:ascii="Arial" w:hAnsi="Arial" w:cs="Arial"/>
        </w:rPr>
        <w:t xml:space="preserve"> года</w:t>
      </w:r>
    </w:p>
    <w:p w:rsidR="0015434A" w:rsidRPr="005E4740" w:rsidRDefault="0015434A" w:rsidP="0015434A">
      <w:pPr>
        <w:tabs>
          <w:tab w:val="left" w:pos="7020"/>
        </w:tabs>
        <w:rPr>
          <w:rFonts w:ascii="Arial" w:hAnsi="Arial" w:cs="Arial"/>
        </w:rPr>
      </w:pPr>
    </w:p>
    <w:p w:rsidR="0015434A" w:rsidRPr="005E4740" w:rsidRDefault="0015434A" w:rsidP="0015434A">
      <w:pPr>
        <w:tabs>
          <w:tab w:val="left" w:pos="7020"/>
        </w:tabs>
        <w:jc w:val="center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Стоимость услуг, </w:t>
      </w:r>
      <w:r w:rsidR="008209A8" w:rsidRPr="005E4740">
        <w:rPr>
          <w:rFonts w:ascii="Arial" w:hAnsi="Arial" w:cs="Arial"/>
        </w:rPr>
        <w:t xml:space="preserve">предоставляемых на территории </w:t>
      </w:r>
      <w:proofErr w:type="spellStart"/>
      <w:r w:rsidR="008209A8" w:rsidRPr="005E4740">
        <w:rPr>
          <w:rFonts w:ascii="Arial" w:hAnsi="Arial" w:cs="Arial"/>
        </w:rPr>
        <w:t>Пимено-Чернянского</w:t>
      </w:r>
      <w:proofErr w:type="spellEnd"/>
      <w:r w:rsidR="008209A8" w:rsidRPr="005E4740">
        <w:rPr>
          <w:rFonts w:ascii="Arial" w:hAnsi="Arial" w:cs="Arial"/>
        </w:rPr>
        <w:t xml:space="preserve"> сельского поселения </w:t>
      </w:r>
      <w:proofErr w:type="spellStart"/>
      <w:r w:rsidR="008209A8" w:rsidRPr="005E4740">
        <w:rPr>
          <w:rFonts w:ascii="Arial" w:hAnsi="Arial" w:cs="Arial"/>
        </w:rPr>
        <w:t>Котельниковского</w:t>
      </w:r>
      <w:proofErr w:type="spellEnd"/>
      <w:r w:rsidR="008209A8" w:rsidRPr="005E4740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Федерации, и требования к их </w:t>
      </w:r>
      <w:r w:rsidR="008209A8">
        <w:rPr>
          <w:rFonts w:ascii="Arial" w:hAnsi="Arial" w:cs="Arial"/>
        </w:rPr>
        <w:t>качеству</w:t>
      </w:r>
    </w:p>
    <w:p w:rsidR="0015434A" w:rsidRPr="005E4740" w:rsidRDefault="0015434A" w:rsidP="0015434A">
      <w:pPr>
        <w:tabs>
          <w:tab w:val="left" w:pos="7020"/>
        </w:tabs>
        <w:jc w:val="center"/>
        <w:rPr>
          <w:rFonts w:ascii="Arial" w:hAnsi="Arial" w:cs="Arial"/>
        </w:rPr>
      </w:pPr>
    </w:p>
    <w:p w:rsidR="0015434A" w:rsidRPr="005E4740" w:rsidRDefault="0015434A" w:rsidP="0015434A">
      <w:pPr>
        <w:rPr>
          <w:rFonts w:ascii="Arial" w:hAnsi="Arial" w:cs="Arial"/>
        </w:rPr>
      </w:pPr>
    </w:p>
    <w:p w:rsidR="0015434A" w:rsidRPr="005E4740" w:rsidRDefault="0015434A" w:rsidP="0015434A">
      <w:pPr>
        <w:tabs>
          <w:tab w:val="left" w:pos="1395"/>
        </w:tabs>
        <w:rPr>
          <w:rFonts w:ascii="Arial" w:hAnsi="Arial" w:cs="Arial"/>
        </w:rPr>
      </w:pPr>
      <w:r w:rsidRPr="005E4740">
        <w:rPr>
          <w:rFonts w:ascii="Arial" w:hAnsi="Arial" w:cs="Arial"/>
        </w:rPr>
        <w:tab/>
      </w:r>
    </w:p>
    <w:tbl>
      <w:tblPr>
        <w:tblStyle w:val="a4"/>
        <w:tblW w:w="0" w:type="auto"/>
        <w:tblLook w:val="04A0"/>
      </w:tblPr>
      <w:tblGrid>
        <w:gridCol w:w="654"/>
        <w:gridCol w:w="2094"/>
        <w:gridCol w:w="3749"/>
        <w:gridCol w:w="1653"/>
        <w:gridCol w:w="1421"/>
      </w:tblGrid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E474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свидетельства о смерти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421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 w:rsidR="008209A8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421" w:type="dxa"/>
          </w:tcPr>
          <w:p w:rsidR="0015434A" w:rsidRPr="005E4740" w:rsidRDefault="00DB5576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1776,10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Гроб стандартный, строганный из натуральных пиломатериалов толщиной 25-32 мм, обитый внутри пленкой, с ножками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,7х0,7)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421" w:type="dxa"/>
          </w:tcPr>
          <w:p w:rsidR="0015434A" w:rsidRPr="005E4740" w:rsidRDefault="00DB5576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1359,10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расстояние до 25 км с учетом </w:t>
            </w: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холостого пробега.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421" w:type="dxa"/>
          </w:tcPr>
          <w:p w:rsidR="0015434A" w:rsidRPr="005E4740" w:rsidRDefault="00DB5576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417,00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ключая холостой пробег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421" w:type="dxa"/>
          </w:tcPr>
          <w:p w:rsidR="0015434A" w:rsidRPr="005E4740" w:rsidRDefault="00DB5576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1957,86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  <w:r w:rsidR="008209A8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15434A" w:rsidRPr="005E4740" w:rsidRDefault="00DB5576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1967,35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,0х1,5)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421" w:type="dxa"/>
          </w:tcPr>
          <w:p w:rsidR="0015434A" w:rsidRPr="005E4740" w:rsidRDefault="00DB5576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1056,57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15434A" w:rsidRPr="005E4740" w:rsidRDefault="00DB5576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602,25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похорон</w:t>
            </w:r>
            <w:r w:rsidR="008209A8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421" w:type="dxa"/>
          </w:tcPr>
          <w:p w:rsidR="0015434A" w:rsidRPr="005E4740" w:rsidRDefault="00DB5576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308,53</w:t>
            </w:r>
          </w:p>
        </w:tc>
      </w:tr>
      <w:tr w:rsidR="0015434A" w:rsidRPr="005E4740" w:rsidTr="008209A8">
        <w:tc>
          <w:tcPr>
            <w:tcW w:w="6497" w:type="dxa"/>
            <w:gridSpan w:val="3"/>
          </w:tcPr>
          <w:p w:rsidR="0015434A" w:rsidRPr="005E4740" w:rsidRDefault="0015434A" w:rsidP="00820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1653" w:type="dxa"/>
          </w:tcPr>
          <w:p w:rsidR="0015434A" w:rsidRPr="005E4740" w:rsidRDefault="0015434A" w:rsidP="00820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209A8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421" w:type="dxa"/>
          </w:tcPr>
          <w:p w:rsidR="0015434A" w:rsidRPr="005E4740" w:rsidRDefault="00DB5576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5701,31</w:t>
            </w:r>
          </w:p>
        </w:tc>
      </w:tr>
    </w:tbl>
    <w:p w:rsidR="0015434A" w:rsidRDefault="0015434A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Pr="005E4740" w:rsidRDefault="008209A8" w:rsidP="008209A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  <w:r w:rsidRPr="005E4740">
        <w:rPr>
          <w:rFonts w:ascii="Arial" w:hAnsi="Arial" w:cs="Arial"/>
        </w:rPr>
        <w:t xml:space="preserve"> к постановлению</w:t>
      </w:r>
    </w:p>
    <w:p w:rsidR="008209A8" w:rsidRPr="005E4740" w:rsidRDefault="008209A8" w:rsidP="008209A8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Администрации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</w:t>
      </w:r>
    </w:p>
    <w:p w:rsidR="008209A8" w:rsidRPr="005E4740" w:rsidRDefault="008209A8" w:rsidP="008209A8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</w:t>
      </w:r>
      <w:r w:rsidRPr="005E474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28.02.2018</w:t>
      </w:r>
      <w:r w:rsidRPr="005E4740">
        <w:rPr>
          <w:rFonts w:ascii="Arial" w:hAnsi="Arial" w:cs="Arial"/>
        </w:rPr>
        <w:t xml:space="preserve"> года</w:t>
      </w:r>
    </w:p>
    <w:p w:rsidR="008209A8" w:rsidRDefault="008209A8" w:rsidP="008209A8">
      <w:pPr>
        <w:tabs>
          <w:tab w:val="left" w:pos="1395"/>
        </w:tabs>
        <w:jc w:val="center"/>
        <w:rPr>
          <w:rFonts w:ascii="Arial" w:hAnsi="Arial" w:cs="Arial"/>
        </w:rPr>
      </w:pPr>
    </w:p>
    <w:p w:rsidR="008209A8" w:rsidRDefault="008209A8" w:rsidP="008209A8">
      <w:pPr>
        <w:tabs>
          <w:tab w:val="left" w:pos="139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r w:rsidRPr="005E4740">
        <w:rPr>
          <w:rFonts w:ascii="Arial" w:hAnsi="Arial" w:cs="Arial"/>
        </w:rPr>
        <w:t xml:space="preserve">тоимость услуг, предоставляемых </w:t>
      </w:r>
      <w:r>
        <w:rPr>
          <w:rFonts w:ascii="Arial" w:hAnsi="Arial" w:cs="Arial"/>
        </w:rPr>
        <w:t xml:space="preserve"> </w:t>
      </w:r>
      <w:r w:rsidRPr="005E4740">
        <w:rPr>
          <w:rFonts w:ascii="Arial" w:hAnsi="Arial" w:cs="Arial"/>
        </w:rPr>
        <w:t xml:space="preserve">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</w:t>
      </w:r>
      <w:r>
        <w:rPr>
          <w:rFonts w:ascii="Arial" w:hAnsi="Arial" w:cs="Arial"/>
        </w:rPr>
        <w:t>согласно гарантированному перечню 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за счет средств Пенсионного фонда Российской Федерации, федерального бюджета, Фонда</w:t>
      </w:r>
      <w:proofErr w:type="gramEnd"/>
      <w:r>
        <w:rPr>
          <w:rFonts w:ascii="Arial" w:hAnsi="Arial" w:cs="Arial"/>
        </w:rPr>
        <w:t xml:space="preserve"> социального страхования Российской Федерации, и требования к их качеству</w:t>
      </w:r>
    </w:p>
    <w:p w:rsidR="008209A8" w:rsidRDefault="008209A8" w:rsidP="008209A8">
      <w:pPr>
        <w:tabs>
          <w:tab w:val="left" w:pos="1395"/>
        </w:tabs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654"/>
        <w:gridCol w:w="2094"/>
        <w:gridCol w:w="3749"/>
        <w:gridCol w:w="1653"/>
        <w:gridCol w:w="1421"/>
      </w:tblGrid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E474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свидетельства о смерти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1776,10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Гроб стандартный, строганный из натуральных пиломатериалов толщиной 25-32 мм, обитый внутри пленкой, с ножками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,7х0,7)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1359,10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расстояние до 25 км с учетом </w:t>
            </w: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холостого пробега.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417,00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ключая холостой пробег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1547,86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Облачение тела в </w:t>
            </w:r>
            <w:proofErr w:type="spellStart"/>
            <w:r>
              <w:rPr>
                <w:rFonts w:ascii="Arial" w:hAnsi="Arial" w:cs="Arial"/>
              </w:rPr>
              <w:t>х\б</w:t>
            </w:r>
            <w:proofErr w:type="spellEnd"/>
            <w:r>
              <w:rPr>
                <w:rFonts w:ascii="Arial" w:hAnsi="Arial" w:cs="Arial"/>
              </w:rPr>
              <w:t xml:space="preserve"> ткань 2-3 м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похороны</w:t>
            </w:r>
          </w:p>
        </w:tc>
        <w:tc>
          <w:tcPr>
            <w:tcW w:w="1421" w:type="dxa"/>
          </w:tcPr>
          <w:p w:rsidR="008209A8" w:rsidRDefault="008209A8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410,0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  <w:r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1967,35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474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,0х1,5)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1056,57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474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602,25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4740">
              <w:rPr>
                <w:rFonts w:ascii="Arial" w:hAnsi="Arial" w:cs="Arial"/>
                <w:sz w:val="24"/>
                <w:szCs w:val="24"/>
              </w:rPr>
              <w:t xml:space="preserve">.3 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похорон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308,53</w:t>
            </w:r>
          </w:p>
        </w:tc>
      </w:tr>
      <w:tr w:rsidR="008209A8" w:rsidRPr="005E4740" w:rsidTr="00600E46">
        <w:tc>
          <w:tcPr>
            <w:tcW w:w="6497" w:type="dxa"/>
            <w:gridSpan w:val="3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5701,31</w:t>
            </w:r>
          </w:p>
        </w:tc>
      </w:tr>
    </w:tbl>
    <w:p w:rsidR="008209A8" w:rsidRPr="005E4740" w:rsidRDefault="008209A8" w:rsidP="008209A8">
      <w:pPr>
        <w:tabs>
          <w:tab w:val="left" w:pos="1395"/>
        </w:tabs>
        <w:jc w:val="both"/>
        <w:rPr>
          <w:rFonts w:ascii="Arial" w:hAnsi="Arial" w:cs="Arial"/>
        </w:rPr>
      </w:pPr>
    </w:p>
    <w:sectPr w:rsidR="008209A8" w:rsidRPr="005E4740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1B"/>
    <w:rsid w:val="00046663"/>
    <w:rsid w:val="0015434A"/>
    <w:rsid w:val="002473DA"/>
    <w:rsid w:val="004D3EC3"/>
    <w:rsid w:val="005A3A1B"/>
    <w:rsid w:val="005E4740"/>
    <w:rsid w:val="005E4FB0"/>
    <w:rsid w:val="006968BF"/>
    <w:rsid w:val="008209A8"/>
    <w:rsid w:val="008E755B"/>
    <w:rsid w:val="00961A07"/>
    <w:rsid w:val="00A46480"/>
    <w:rsid w:val="00C314ED"/>
    <w:rsid w:val="00DB5576"/>
    <w:rsid w:val="00FA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2018-03-01T12:42:00Z</cp:lastPrinted>
  <dcterms:created xsi:type="dcterms:W3CDTF">2018-03-01T12:42:00Z</dcterms:created>
  <dcterms:modified xsi:type="dcterms:W3CDTF">2018-03-02T13:13:00Z</dcterms:modified>
</cp:coreProperties>
</file>