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BE2454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BE2454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BE2454">
        <w:rPr>
          <w:rFonts w:ascii="Arial" w:hAnsi="Arial" w:cs="Arial"/>
          <w:b/>
          <w:sz w:val="24"/>
          <w:szCs w:val="24"/>
        </w:rPr>
        <w:t>7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6A7D73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452FE8">
              <w:rPr>
                <w:rFonts w:ascii="Arial" w:hAnsi="Arial" w:cs="Arial"/>
                <w:sz w:val="24"/>
                <w:szCs w:val="24"/>
              </w:rPr>
              <w:t>гоградской области от 30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452FE8">
              <w:rPr>
                <w:rFonts w:ascii="Arial" w:hAnsi="Arial" w:cs="Arial"/>
                <w:sz w:val="24"/>
                <w:szCs w:val="24"/>
              </w:rPr>
              <w:t xml:space="preserve"> № 45</w:t>
            </w:r>
            <w:r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452FE8" w:rsidRDefault="00C34239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2FE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452FE8" w:rsidRPr="00452FE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452FE8" w:rsidRPr="00452FE8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452FE8" w:rsidRPr="00452FE8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452FE8" w:rsidRPr="00452FE8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452FE8" w:rsidRPr="00452FE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образования» (в редакции постановления от 30.04.2013 г. №  35)»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452FE8">
        <w:rPr>
          <w:rFonts w:ascii="Arial" w:hAnsi="Arial" w:cs="Arial"/>
          <w:sz w:val="24"/>
          <w:szCs w:val="24"/>
        </w:rPr>
        <w:t>30.07.2012 г. № 45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lastRenderedPageBreak/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452FE8" w:rsidRPr="00452FE8">
        <w:rPr>
          <w:rFonts w:ascii="Arial" w:hAnsi="Arial" w:cs="Arial"/>
          <w:color w:val="000000"/>
          <w:sz w:val="24"/>
          <w:szCs w:val="24"/>
        </w:rPr>
        <w:t>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образования» (в редакции постановления от 30.04.2013 г. №  35)»</w:t>
      </w:r>
      <w:r w:rsidR="0093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146B8A"/>
    <w:rsid w:val="001D689B"/>
    <w:rsid w:val="003A37C4"/>
    <w:rsid w:val="003F1562"/>
    <w:rsid w:val="00452FE8"/>
    <w:rsid w:val="00491919"/>
    <w:rsid w:val="004E5B1B"/>
    <w:rsid w:val="00516B4D"/>
    <w:rsid w:val="005B71BA"/>
    <w:rsid w:val="00657C61"/>
    <w:rsid w:val="006A7D73"/>
    <w:rsid w:val="007E4699"/>
    <w:rsid w:val="00934CDB"/>
    <w:rsid w:val="00960CAA"/>
    <w:rsid w:val="00A004D2"/>
    <w:rsid w:val="00B07D04"/>
    <w:rsid w:val="00BE2454"/>
    <w:rsid w:val="00C34239"/>
    <w:rsid w:val="00C93705"/>
    <w:rsid w:val="00CB5A0E"/>
    <w:rsid w:val="00CC7AC9"/>
    <w:rsid w:val="00D57940"/>
    <w:rsid w:val="00DF4464"/>
    <w:rsid w:val="00EA1053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2017-12-01T12:31:00Z</dcterms:created>
  <dcterms:modified xsi:type="dcterms:W3CDTF">2017-12-01T12:31:00Z</dcterms:modified>
</cp:coreProperties>
</file>